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Cekos In Ekspert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На основу члана 9. став 2. Закона о санитарном надзору ("Службени гласник РС", број 125/04),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Министар здравља доноси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333333"/>
          <w:sz w:val="40"/>
        </w:rPr>
        <w:t xml:space="preserve">ПРАВИЛНИК </w:t>
      </w:r>
      <w:r>
        <w:br/>
      </w:r>
      <w:r>
        <w:rPr>
          <w:rFonts w:hint="default" w:ascii="Times" w:hAnsi="Times"/>
          <w:b/>
          <w:i w:val="false"/>
          <w:color w:val="333333"/>
          <w:sz w:val="40"/>
        </w:rPr>
        <w:t xml:space="preserve">О ПОСЕБНИМ САНИТАРНИМ УСЛОВИМА КОЈЕ МОРАЈУ ДА ИСПУНЕ ОБЈЕКТИ У КОЈИМА СЕ ПРУЖАЈУ УСЛУГЕ ОДРЖАВАЊА ХИГИЈЕНЕ, НЕГЕ И УЛЕПШАВАЊА ЛИЦА И ТЕЛА </w:t>
      </w:r>
    </w:p>
    <w:p>
      <w:pPr>
        <w:spacing w:after="450"/>
        <w:ind w:left="750"/>
        <w:jc w:val="center"/>
      </w:pPr>
      <w:r>
        <w:rPr>
          <w:rFonts w:hint="default" w:ascii="Times" w:hAnsi="Times"/>
          <w:b/>
          <w:i w:val="false"/>
          <w:color w:val="006633"/>
          <w:sz w:val="24"/>
        </w:rPr>
        <w:t xml:space="preserve">(Сл. гласник РС бр. </w:t>
      </w:r>
      <w:r>
        <w:rPr>
          <w:rFonts w:hint="default" w:ascii="Times" w:hAnsi="Times"/>
          <w:b/>
          <w:i w:val="false"/>
          <w:color w:val="006633"/>
          <w:sz w:val="24"/>
        </w:rPr>
        <w:t>8/19</w:t>
      </w:r>
      <w:r>
        <w:rPr>
          <w:rFonts w:hint="default" w:ascii="Times" w:hAnsi="Times"/>
          <w:b/>
          <w:i w:val="false"/>
          <w:color w:val="006633"/>
          <w:sz w:val="24"/>
        </w:rPr>
        <w:t xml:space="preserve">) </w:t>
      </w:r>
    </w:p>
    <w:p>
      <w:pPr>
        <w:spacing w:after="450"/>
        <w:ind w:left="750"/>
        <w:jc w:val="center"/>
      </w:pPr>
      <w:r>
        <w:rPr>
          <w:rFonts w:hint="default" w:ascii="Times" w:hAnsi="Times"/>
          <w:b/>
          <w:i w:val="false"/>
          <w:color w:val="006633"/>
        </w:rPr>
        <w:t xml:space="preserve">Основни текст на снази од 16/02/2019 , у примени од 16/02/2019 </w:t>
      </w:r>
      <w:r>
        <w:rPr>
          <w:rFonts w:hint="default" w:ascii="Times" w:hAnsi="Times"/>
          <w:b/>
          <w:i w:val="false"/>
          <w:color w:val="006633"/>
        </w:rPr>
        <w:t xml:space="preserve"> 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1.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Овим правилником прописују се посебни санитарни услови које морају да испуне сви објекти у којима се обавља делатност пружања услуга одржавања хигијене, неге и улепшавања лица и тела и немедицинских естетских интервенција којима се нарушава интегритет коже.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2.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Објектима из става 1. овог члана </w:t>
      </w:r>
      <w:r>
        <w:rPr>
          <w:rFonts w:hint="default" w:ascii="Times" w:hAnsi="Times"/>
          <w:b w:val="false"/>
          <w:i w:val="false"/>
          <w:color w:val="000000"/>
          <w:vertAlign w:val="superscript"/>
        </w:rPr>
        <w:t xml:space="preserve"> [1] 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сматрају се, у смислу овог правилника, сви објекти у којима се пружају услуге: фризерске, маникирске, педикирске, козметичке, услуге масаже, соларијума, пирсинга, тетоваже и сл. (у даљем тексту: објекти). 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3.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Просторије у којима се пружају услуге: фризерске, маникирске, педикирске, козметичке, услуге масаже, соларијума, пирсинга, тетоваже и сл. (у даљем тексту: услуге) функционално су повезане и подељене на посебне просторне целине, уколико се у објекту пружају различите услуге и не могу бити повезане са просторијама које се користе за становање и обављање друге делатности.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4.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(1) Зидови, преградни зидови између одељења и таванице у објекту су од чврстог материјала, равни, глатке површине и без оштећења, чисти, беле или неке друге светле боје.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(2) Подови су од чврстог, водонепропустивог материјала, равни, без оштећења, погодни за хигијенско одржавање (чишћење, прање, дезинфекцију) и не смеју бити клизави.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(3) У свим просторијама обезбеђује се температура ваздуха од 18 до 25 </w:t>
      </w:r>
      <w:r>
        <w:rPr>
          <w:rFonts w:hint="default" w:ascii="Times" w:hAnsi="Times"/>
          <w:b w:val="false"/>
          <w:i w:val="false"/>
          <w:color w:val="000000"/>
        </w:rPr>
        <w:t>°C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у зависности од врсте услуге. 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5.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(1) Објекат у коме се пружају услуге: фризерске, маникирске, педикирске, козметичке, услуге масаже, соларијума, пирсинга, тетоваже, има: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1) радну просторију;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2) издвојен простор са чекаоницом са столицама и вешалицом;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3) помоћну просторију (за смештај употребљеног рубља, прљаве радне одеће, одлагање прибора и средстава за одржавање хигијене просторија, по потреби за смештај машине за прање и сушење рубља) или издвојен простор у радној просторији уколико је радна просторија мања од 14 </w:t>
      </w:r>
      <w:r>
        <w:rPr>
          <w:rFonts w:hint="default" w:ascii="Times" w:hAnsi="Times"/>
          <w:b w:val="false"/>
          <w:i w:val="false"/>
          <w:color w:val="000000"/>
        </w:rPr>
        <w:t>m²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односно има два места за пружање услуга; 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4) просторију или издвојен простор у радној просторији за држање чистог рубља и предмета опште употребе који се користе при пружању услуга;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5) санитарни чвор са предпростором;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6) мањи расхладни уређај за чување козметичких препарата;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7) једнократни потрошни материјал за заштиту уређаја, опреме и намештаја као и стерилизатор (аутоклав или суви стерилизатор).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(2) Уколико се у истом објекту пружају различите хигијенске услуге просторије су физички одвојене у посебне просторне и функционално повезане целине. Изузетно у случају пружања сродних услуга просторије за пружање хигијенских услуга могу бити одвојене параванима који морају бити светлих боја и у чистом стању.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6.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(1) Површина радне просторије зависи од броја радних места, као и од врсте и броја услуга које се у њој пружају.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(2) Најмања површина радне просторије, са једним местом за пружање услуга износи по 8 </w:t>
      </w:r>
      <w:r>
        <w:rPr>
          <w:rFonts w:hint="default" w:ascii="Times" w:hAnsi="Times"/>
          <w:b w:val="false"/>
          <w:i w:val="false"/>
          <w:color w:val="000000"/>
        </w:rPr>
        <w:t>m²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за фризерске, маникирске и педикирске услуге и по 10 </w:t>
      </w:r>
      <w:r>
        <w:rPr>
          <w:rFonts w:hint="default" w:ascii="Times" w:hAnsi="Times"/>
          <w:b w:val="false"/>
          <w:i w:val="false"/>
          <w:color w:val="000000"/>
        </w:rPr>
        <w:t>m²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за козметичке, услуге масаже, соларијума, пирсинга, тетоваже и сл. За свако ново место најмања површина радне просторије увећава се за 2,5 </w:t>
      </w:r>
      <w:r>
        <w:rPr>
          <w:rFonts w:hint="default" w:ascii="Times" w:hAnsi="Times"/>
          <w:b w:val="false"/>
          <w:i w:val="false"/>
          <w:color w:val="000000"/>
        </w:rPr>
        <w:t>m²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по столици, односно 4 </w:t>
      </w:r>
      <w:r>
        <w:rPr>
          <w:rFonts w:hint="default" w:ascii="Times" w:hAnsi="Times"/>
          <w:b w:val="false"/>
          <w:i w:val="false"/>
          <w:color w:val="000000"/>
        </w:rPr>
        <w:t>m²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по лежају. 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7.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Санитарни чвор и предпростор опремљени су уређајима, прибором и средствима за одржавање личне хигијене (у кабини санитарног чвора држач са тоалет папиром, у предпросторији поред уређаја за прање руку - средство за прање руку и држач са папирним убрусом или уређај за сушење руку - феномат).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8.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(1) У свим просторијама где се налази соларијум мора да стоји видно постављен натпис "УПОТРЕБА СОЛАРИЈУМА МОЖЕ ИЗАЗВАТИ РАК КОЖЕ".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(2) Сви корисници соларијума дају информисани пристанак у два примерка, један примерак задржава власник соларијума а други корисник, у коме је назначено да корисник на сопствени ризик користи соларијум и у коме су наведена сва штетна дејства УВ зрачења.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(3) Информисани пристанак корисника соларијума дат је на обрасцу који је одштампан уз овај правилник и чини његов саставни део.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(4) Соларијум не могу да користе: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1. Лица која користе лекове који су осетљиви на УВ зрачење (уколико постоји сумња, консултовати лекара);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2. Малолетна лица;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3. Лица која су боловала или болују од малигних тумора коже или болују од обољења која су праћена појачаном осетљивошћу на УВ зрачење и/или топлоту.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(5) На пријавници објекта који има соларијум треба да стоје следеће информације: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1. Назив и број телефона;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2. Име и презиме лица које је одговорно за рад соларијума;</w:t>
      </w:r>
    </w:p>
    <w:p>
      <w:pPr>
        <w:spacing w:after="90"/>
        <w:ind w:left="60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3. Број телефона на који корисници могу изнети своје жалбе, коментаре, питања или потражити помоћ.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(6) Власници соларијума поседују сертификат о техничким карактеристикама апарата и сервисну књигу. Техничку исправност соларијума утврђује овлашћено лице шестомесечно. Подаци о урађеном прегледу уносе се у сервисну књигу, а на соларијум се ставља контролна налепница о извршеном прегледу.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(7) У кабини соларијума поставља се дигитални мерач утрошеног времена лампи без могућности ресетовања како би сваки клијент могао да има увид о истрошености лампи, као и сертификат произвођача о року употребе лампи. Непосредно после редовне замене лампи, од стране овлашћеног лица, ставља се налепница са датумом замене.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9.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(1) Лица која пружају услуге у објектима стручно су оспособљена за рад и поседују документ формалног образовања или сертификат о неформалном образовању и завршеној обуци издат од стране установе која има статус јавно признати извођач активности образовања одраслих и завршену јавно признату обуку.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(2) Дипломе, уверења, јавне исправе, лиценце и упутство за коришћење апарата у објектима из члана 1. овог правилника изложени су на видном месту у објекту у којем се пружају услуге одржавања хигијене, неге и улепшавања лица и тела. Власници апарата обезбеђују обуку запослених за рад, што се потврђује одговарајућом потврдом овлашћеног дистрибутера. Потврда о стеченом образовању мора бити јавно и видно истакнута. 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10.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Даном ступања на снагу овог правилника престаје да важи Правилник о посебним санитарним условима које морају да испуне објекти у којима се пружају услуге хигијене, неге и улепшавања лица и тела ("Службени гласник РС", број 47/06). </w:t>
      </w:r>
    </w:p>
    <w:p>
      <w:pPr>
        <w:spacing w:after="225"/>
        <w:ind w:left="0"/>
        <w:jc w:val="center"/>
      </w:pPr>
      <w:r>
        <w:rPr>
          <w:rFonts w:hint="default" w:ascii="Times" w:hAnsi="Times"/>
          <w:b/>
          <w:i w:val="false"/>
          <w:color w:val="000000"/>
          <w:sz w:val="24"/>
        </w:rPr>
        <w:t xml:space="preserve"> Члан 11.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>Овај правилник ступа на снагу осмог дана од дана објављивања у "Службеном гласнику Републике Србије".</w:t>
      </w:r>
    </w:p>
    <w:p>
      <w:pPr>
        <w:spacing w:after="90"/>
        <w:ind w:left="0"/>
        <w:jc w:val="left"/>
      </w:pP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Број 110-00-462/2018-10 </w:t>
      </w:r>
      <w:r>
        <w:br/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У Београду, 30. јануара 2019. године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Министар, </w:t>
      </w:r>
      <w:r>
        <w:br/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асс. др Златибор Лончар, с.р.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</w:t>
      </w:r>
      <w:r>
        <w:rPr>
          <w:rFonts w:hint="default" w:ascii="Times" w:hAnsi="Times"/>
          <w:b w:val="false"/>
          <w:i w:val="false"/>
          <w:color w:val="000000"/>
          <w:sz w:val="32"/>
        </w:rPr>
        <w:t xml:space="preserve">НАПОМЕНА ЕКСПЕРТ-а: 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</w:t>
      </w:r>
    </w:p>
    <w:p>
      <w:pPr>
        <w:spacing w:after="90"/>
        <w:ind w:left="0"/>
        <w:jc w:val="left"/>
      </w:pP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 </w:t>
      </w:r>
      <w:r>
        <w:rPr>
          <w:rFonts w:hint="default" w:ascii="Times" w:hAnsi="Times"/>
          <w:b w:val="false"/>
          <w:i w:val="false"/>
          <w:color w:val="000000"/>
          <w:vertAlign w:val="superscript"/>
        </w:rPr>
        <w:t xml:space="preserve">[1] </w:t>
      </w:r>
      <w:r>
        <w:rPr>
          <w:rFonts w:hint="default" w:ascii="Times" w:hAnsi="Times"/>
          <w:b w:val="false"/>
          <w:i w:val="false"/>
          <w:color w:val="000000"/>
          <w:sz w:val="24"/>
        </w:rPr>
        <w:t xml:space="preserve">Сматрамо да на означеном месту уместо речи: "из става 1. овог члана", треба да стоје речи: "из члана 1. овог правилника". </w:t>
      </w:r>
    </w:p>
    <w:p>
      <w:pPr>
        <w:spacing w:after="90"/>
        <w:ind w:left="0"/>
        <w:jc w:val="left"/>
      </w:pPr>
      <w:hyperlink r:id="rId4">
        <w:r>
          <w:rPr>
            <w:rFonts w:hint="default" w:ascii="Times" w:hAnsi="Times"/>
            <w:b w:val="false"/>
            <w:i w:val="false"/>
            <w:color w:val="660000"/>
            <w:sz w:val="24"/>
            <w:u w:val="single"/>
          </w:rPr>
          <w:t>© Cekos In, Beograd, www.cekos.rs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www.cekos.rs/" Type="http://schemas.openxmlformats.org/officeDocument/2006/relationships/hyperlink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